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A95B3" w14:textId="77777777" w:rsidR="003D6FED" w:rsidRPr="00F35FCC" w:rsidRDefault="003D6FED" w:rsidP="003D6FED">
      <w:pPr>
        <w:pStyle w:val="EducationNormal"/>
      </w:pPr>
      <w:r>
        <w:t>Early in its history, the United Stated faced a diplomatic crisis that forced its leaders to balance economic survival with ideological allegiance. When asked to take the side of either its dominant trading partner or its revolutionary brother, George Washington, as President of the United States, chose neutrality. This guide seeks to highlight related events of the Genet Affair through the examination of executive influence in foreign affairs</w:t>
      </w:r>
      <w:r w:rsidRPr="00BF7254">
        <w:t xml:space="preserve">, </w:t>
      </w:r>
      <w:r>
        <w:t xml:space="preserve">exporting democracy as foreign policy and to secure global connections, and the ties between foreign policy and economic policy. </w:t>
      </w:r>
    </w:p>
    <w:p w14:paraId="13FFCFA3" w14:textId="77777777" w:rsidR="003D6FED" w:rsidRPr="00B06518" w:rsidRDefault="003D6FED" w:rsidP="003D6FED">
      <w:pPr>
        <w:pStyle w:val="EducationSubtitle1"/>
        <w:rPr>
          <w:b/>
          <w:sz w:val="22"/>
          <w:szCs w:val="22"/>
        </w:rPr>
      </w:pPr>
      <w:r>
        <w:rPr>
          <w:b/>
          <w:sz w:val="22"/>
          <w:szCs w:val="22"/>
        </w:rPr>
        <w:t>executive Influence in foreign affairs</w:t>
      </w:r>
    </w:p>
    <w:p w14:paraId="0E2DAB63" w14:textId="77777777" w:rsidR="003D6FED" w:rsidRDefault="003D6FED" w:rsidP="003D6FED">
      <w:pPr>
        <w:pStyle w:val="EducationNormal"/>
      </w:pPr>
      <w:r>
        <w:t>The Genet Affair illustrates the power and influence that presidential proclamations and executive actions have on the nation’s relationship to other countries. Citizen Genet tried to persuade Washington by reminding him of the 1778 Treaty of Alliance and the aid F</w:t>
      </w:r>
      <w:r w:rsidRPr="00EA4C1E">
        <w:t>rance provided during the United States’ own rebellion against Great Britain.</w:t>
      </w:r>
      <w:r w:rsidRPr="00EA4C1E">
        <w:rPr>
          <w:rStyle w:val="FootnoteReference"/>
        </w:rPr>
        <w:footnoteReference w:id="1"/>
      </w:r>
      <w:r>
        <w:t xml:space="preserve"> Washington stated that “the nation that indulges towards another habitual hatred or habitual fondness is in some degree a slave.</w:t>
      </w:r>
      <w:r>
        <w:rPr>
          <w:rStyle w:val="FootnoteReference"/>
        </w:rPr>
        <w:footnoteReference w:id="2"/>
      </w:r>
      <w:r>
        <w:t xml:space="preserve"> This perspective shows a concern that informed his decision to proclaim America as a neutral force during the Genet Affair and war between France and Great Britain. Congress followed the President Washington’s lead in the Genet Affair. Congress’ support of executive decision making continued in many of the years the followed, sometimes for neutrality and sometimes for military action. </w:t>
      </w:r>
    </w:p>
    <w:p w14:paraId="558089C7" w14:textId="0914B4BC" w:rsidR="003D6FED" w:rsidRPr="00C7454D" w:rsidRDefault="003D6FED" w:rsidP="003D6FED">
      <w:pPr>
        <w:pStyle w:val="EducationNormal"/>
      </w:pPr>
      <w:r w:rsidRPr="0040720F">
        <w:t>Key Concepts:</w:t>
      </w:r>
      <w:r w:rsidRPr="00C7454D">
        <w:t xml:space="preserve"> </w:t>
      </w:r>
      <w:r>
        <w:t>Isolationism; Non-interventionism; Military action</w:t>
      </w:r>
    </w:p>
    <w:p w14:paraId="61461549" w14:textId="7471F614" w:rsidR="00374B92" w:rsidRDefault="003D6FED" w:rsidP="003D6FED">
      <w:r w:rsidRPr="0040720F">
        <w:t xml:space="preserve">Related </w:t>
      </w:r>
      <w:r>
        <w:t>Issues/</w:t>
      </w:r>
      <w:r w:rsidRPr="0040720F">
        <w:t>Events:</w:t>
      </w:r>
      <w:r w:rsidRPr="00C7454D">
        <w:t xml:space="preserve"> </w:t>
      </w:r>
      <w:r>
        <w:t xml:space="preserve">George Washington’s Farewell Address (1796); </w:t>
      </w:r>
      <w:r w:rsidRPr="003D27A7">
        <w:t>Thomas Jefferson’s</w:t>
      </w:r>
      <w:r w:rsidRPr="00485480">
        <w:t xml:space="preserve"> Embargo Act (1807);</w:t>
      </w:r>
      <w:r w:rsidRPr="0067583B">
        <w:t xml:space="preserve"> </w:t>
      </w:r>
      <w:r>
        <w:t xml:space="preserve">Woodrow Wilson’s proclamation of neutrality in WWI (August 4, 1914); Franklin D. Roosevelt’s Neutrality Acts (1930s); United States’ neutral stance in the Spanish Civil War (1936-1939); Lyndon B. Johnson’s military action in the Vietnam War (1960s); George H. W. Bush and the Gulf War (1990s); </w:t>
      </w:r>
      <w:r w:rsidR="00530282">
        <w:t xml:space="preserve">Barack Obama and </w:t>
      </w:r>
      <w:r w:rsidRPr="00530282">
        <w:t xml:space="preserve">the </w:t>
      </w:r>
      <w:r w:rsidR="00530282">
        <w:t xml:space="preserve">continuation of the War on Terror on </w:t>
      </w:r>
      <w:r w:rsidRPr="00530282">
        <w:t>ISIL/ISIS (2010s)</w:t>
      </w:r>
    </w:p>
    <w:p w14:paraId="66CB5C60" w14:textId="77777777" w:rsidR="003D6FED" w:rsidRPr="00113AF3" w:rsidRDefault="003D6FED" w:rsidP="003D6FED">
      <w:pPr>
        <w:pStyle w:val="EducationSubtitle1"/>
        <w:rPr>
          <w:b/>
          <w:sz w:val="22"/>
          <w:szCs w:val="22"/>
        </w:rPr>
      </w:pPr>
      <w:r>
        <w:rPr>
          <w:b/>
          <w:sz w:val="22"/>
          <w:szCs w:val="22"/>
        </w:rPr>
        <w:t>exporting democracy as foreign policy and global connections</w:t>
      </w:r>
    </w:p>
    <w:p w14:paraId="70E5C18F" w14:textId="57938E16" w:rsidR="003D6FED" w:rsidRDefault="003D6FED" w:rsidP="003D6FED">
      <w:r>
        <w:t>George Washington described foreign influence as “one of the most baneful foes of republican government.”</w:t>
      </w:r>
      <w:r>
        <w:rPr>
          <w:rStyle w:val="FootnoteReference"/>
        </w:rPr>
        <w:footnoteReference w:id="3"/>
      </w:r>
      <w:r>
        <w:t xml:space="preserve"> However, historically, foreign policy and global </w:t>
      </w:r>
      <w:r w:rsidR="002403B5">
        <w:t>connections</w:t>
      </w:r>
      <w:r>
        <w:t xml:space="preserve"> have served as platforms for the United States to export democracy in pursuance of the common good.</w:t>
      </w:r>
      <w:r w:rsidRPr="0099143A">
        <w:rPr>
          <w:rStyle w:val="FootnoteReference"/>
        </w:rPr>
        <w:footnoteReference w:id="4"/>
      </w:r>
      <w:r>
        <w:t xml:space="preserve"> The Genet Affair served as an early example of how America weighed the nation’s interests when faced with engaging in a global conflict. The 20</w:t>
      </w:r>
      <w:r w:rsidRPr="003D6FED">
        <w:rPr>
          <w:vertAlign w:val="superscript"/>
        </w:rPr>
        <w:t>th</w:t>
      </w:r>
      <w:r>
        <w:t xml:space="preserve"> century saw the United States working to defeat fascism and communism that defined its role in global politics and defender of democracy.</w:t>
      </w:r>
    </w:p>
    <w:p w14:paraId="42FFB4E4" w14:textId="73981EB1" w:rsidR="003D6FED" w:rsidRDefault="003D6FED" w:rsidP="003D6FED">
      <w:r w:rsidRPr="00C7454D">
        <w:lastRenderedPageBreak/>
        <w:t>Key Concepts:</w:t>
      </w:r>
      <w:r>
        <w:t xml:space="preserve"> Global interdependence; global governance; </w:t>
      </w:r>
      <w:r w:rsidRPr="00081EFA">
        <w:t xml:space="preserve">democracy; </w:t>
      </w:r>
      <w:r w:rsidRPr="003D6FED">
        <w:t>American exceptionalism;</w:t>
      </w:r>
      <w:r w:rsidRPr="00C53502">
        <w:t xml:space="preserve"> </w:t>
      </w:r>
      <w:r>
        <w:t>fascism;</w:t>
      </w:r>
      <w:r w:rsidRPr="00081EFA">
        <w:t xml:space="preserve"> communism</w:t>
      </w:r>
      <w:r>
        <w:t xml:space="preserve">; technological innovation; environmental preservation; alliance of nations during war; peace treaties; colonialism </w:t>
      </w:r>
    </w:p>
    <w:p w14:paraId="6B0B883D" w14:textId="2263473F" w:rsidR="003D6FED" w:rsidRDefault="003D6FED" w:rsidP="003D6FED">
      <w:r w:rsidRPr="0040720F">
        <w:t xml:space="preserve">Related </w:t>
      </w:r>
      <w:r>
        <w:t>Issues/</w:t>
      </w:r>
      <w:r w:rsidRPr="00C7454D">
        <w:t xml:space="preserve">Events: </w:t>
      </w:r>
      <w:r>
        <w:t xml:space="preserve">Monroe Doctrine (1823); United Nations (1945); Cold War (1947-1991); </w:t>
      </w:r>
      <w:r w:rsidRPr="004A7F96">
        <w:t>Cuban Missile Crisis (1962</w:t>
      </w:r>
      <w:r>
        <w:t xml:space="preserve">); Vietnam War (1965-1973); Treaty on the Non-Proliferation of Nuclear Weapons (1970-); </w:t>
      </w:r>
      <w:r w:rsidRPr="003D6FED">
        <w:t>United States Congressional War Powers Resolution (1973-); Montreal Protocol (1987-); Strategic Arms Reduction Treaty (1991); American War on Terror (2001-); Authorization for Use of Military Force (2001-);</w:t>
      </w:r>
      <w:r>
        <w:t xml:space="preserve"> </w:t>
      </w:r>
      <w:r w:rsidR="00164217">
        <w:t>N</w:t>
      </w:r>
      <w:r w:rsidR="008F07C5">
        <w:t>et Neutrality (2017</w:t>
      </w:r>
      <w:r w:rsidR="007A4913">
        <w:t>-</w:t>
      </w:r>
      <w:r w:rsidR="00164217">
        <w:t>)</w:t>
      </w:r>
    </w:p>
    <w:p w14:paraId="7D35F76A" w14:textId="77777777" w:rsidR="003D6FED" w:rsidRPr="00113AF3" w:rsidRDefault="003D6FED" w:rsidP="003D6FED">
      <w:pPr>
        <w:pStyle w:val="EducationSubtitle1"/>
        <w:rPr>
          <w:b/>
          <w:sz w:val="22"/>
          <w:szCs w:val="22"/>
        </w:rPr>
      </w:pPr>
      <w:r>
        <w:rPr>
          <w:b/>
          <w:sz w:val="22"/>
          <w:szCs w:val="22"/>
        </w:rPr>
        <w:t>connections between Economic policy and foreign policy</w:t>
      </w:r>
    </w:p>
    <w:p w14:paraId="1A619BFD" w14:textId="77777777" w:rsidR="003D6FED" w:rsidRDefault="003D6FED" w:rsidP="003D6FED">
      <w:pPr>
        <w:pStyle w:val="EducationNormal"/>
      </w:pPr>
      <w:r>
        <w:t xml:space="preserve">The United States had more at stake during the Genet Affair than just political ties with foreign countries; Washington had to consider the economic impact of his decisions. Had he chosen to support France, he risked losing economic ties to Great Britain and suffering from the many costs associated with war. The United States’ economy was at risk and Washington decided that neutrality served as the best method to maintain economic stability without allying directly with the British. </w:t>
      </w:r>
    </w:p>
    <w:p w14:paraId="2DAA03C4" w14:textId="77777777" w:rsidR="003D6FED" w:rsidRPr="00C7454D" w:rsidRDefault="003D6FED" w:rsidP="003D6FED">
      <w:pPr>
        <w:pStyle w:val="EducationNormal"/>
      </w:pPr>
      <w:r w:rsidRPr="00C7454D">
        <w:t xml:space="preserve">Key Concepts: </w:t>
      </w:r>
      <w:r w:rsidRPr="00B345A4">
        <w:t>Global trade;</w:t>
      </w:r>
      <w:r>
        <w:t xml:space="preserve"> economic interdependence; economic stability</w:t>
      </w:r>
    </w:p>
    <w:p w14:paraId="3B0D02EC" w14:textId="60137B85" w:rsidR="003D6FED" w:rsidRDefault="003D6FED" w:rsidP="003D6FED">
      <w:r w:rsidRPr="0040720F">
        <w:t xml:space="preserve">Related </w:t>
      </w:r>
      <w:r>
        <w:t>Issues/</w:t>
      </w:r>
      <w:r w:rsidRPr="00C7454D">
        <w:t>Events</w:t>
      </w:r>
      <w:r>
        <w:t>: Growth of international trade during Napoleonic Wars (1803-1815); Non-Intercourse Act (1809); Marshall Plan (1948); North American Free Trade Agreement (1994); Oil Embargo (1970s)</w:t>
      </w:r>
    </w:p>
    <w:sectPr w:rsidR="003D6FED" w:rsidSect="0074558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1295E" w14:textId="77777777" w:rsidR="001D5075" w:rsidRDefault="001D5075" w:rsidP="00705F31">
      <w:pPr>
        <w:spacing w:after="0" w:line="240" w:lineRule="auto"/>
      </w:pPr>
      <w:r>
        <w:separator/>
      </w:r>
    </w:p>
  </w:endnote>
  <w:endnote w:type="continuationSeparator" w:id="0">
    <w:p w14:paraId="046FE0CE" w14:textId="77777777" w:rsidR="001D5075" w:rsidRDefault="001D5075" w:rsidP="00705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C4803" w14:textId="77777777" w:rsidR="00635DD7" w:rsidRDefault="0063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C0496" w14:textId="77777777" w:rsidR="009F65C3" w:rsidRDefault="001D5075">
    <w:pPr>
      <w:pStyle w:val="EducationNormal"/>
      <w:spacing w:after="0" w:line="276" w:lineRule="auto"/>
    </w:pPr>
  </w:p>
  <w:p w14:paraId="3AB8AC9C" w14:textId="77777777" w:rsidR="009F65C3" w:rsidRDefault="001D5075">
    <w:pPr>
      <w:pStyle w:val="EducationNormal"/>
      <w:spacing w:after="0" w:line="276" w:lineRule="auto"/>
    </w:pPr>
  </w:p>
  <w:p w14:paraId="59C2A666" w14:textId="77777777" w:rsidR="00557CD4" w:rsidRDefault="00705F31">
    <w:pPr>
      <w:pStyle w:val="EducationNormal"/>
      <w:spacing w:after="0" w:line="276" w:lineRule="auto"/>
      <w:rPr>
        <w:sz w:val="18"/>
        <w:szCs w:val="18"/>
      </w:rPr>
    </w:pPr>
    <w:r>
      <w:rPr>
        <w:sz w:val="18"/>
        <w:szCs w:val="18"/>
      </w:rPr>
      <w:t>BE WASHINGTON | bewashington.org</w:t>
    </w:r>
  </w:p>
  <w:p w14:paraId="1B768D12" w14:textId="43EC48B2" w:rsidR="009F65C3" w:rsidRDefault="00705F31" w:rsidP="00D46CEA">
    <w:pPr>
      <w:pStyle w:val="EducationNormal"/>
      <w:tabs>
        <w:tab w:val="right" w:pos="8370"/>
      </w:tabs>
      <w:spacing w:after="0" w:line="276" w:lineRule="auto"/>
    </w:pPr>
    <w:r>
      <w:rPr>
        <w:sz w:val="18"/>
        <w:szCs w:val="18"/>
      </w:rPr>
      <w:t xml:space="preserve">George Washington Teacher Institute | mountvernon.org/teachers </w:t>
    </w:r>
    <w:r>
      <w:rPr>
        <w:sz w:val="18"/>
        <w:szCs w:val="18"/>
      </w:rPr>
      <w:tab/>
    </w:r>
    <w:r w:rsidRPr="00D55242">
      <w:rPr>
        <w:sz w:val="18"/>
        <w:szCs w:val="18"/>
      </w:rPr>
      <w:tab/>
    </w:r>
    <w:r w:rsidRPr="00D55242">
      <w:rPr>
        <w:sz w:val="18"/>
        <w:szCs w:val="18"/>
      </w:rPr>
      <w:fldChar w:fldCharType="begin"/>
    </w:r>
    <w:r w:rsidRPr="00D55242">
      <w:rPr>
        <w:sz w:val="18"/>
        <w:szCs w:val="18"/>
      </w:rPr>
      <w:instrText xml:space="preserve"> PAGE   \* MERGEFORMAT </w:instrText>
    </w:r>
    <w:r w:rsidRPr="00D55242">
      <w:rPr>
        <w:sz w:val="18"/>
        <w:szCs w:val="18"/>
      </w:rPr>
      <w:fldChar w:fldCharType="separate"/>
    </w:r>
    <w:r w:rsidR="00635DD7">
      <w:rPr>
        <w:noProof/>
        <w:sz w:val="18"/>
        <w:szCs w:val="18"/>
      </w:rPr>
      <w:t>1</w:t>
    </w:r>
    <w:r w:rsidRPr="00D55242">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1178" w14:textId="77777777" w:rsidR="000A54DF" w:rsidRDefault="00705F31" w:rsidP="00F47BC2">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1</w:t>
    </w:r>
    <w:r>
      <w:rPr>
        <w:rStyle w:val="PageNumber"/>
        <w:rFonts w:eastAsiaTheme="majorEastAsia"/>
      </w:rPr>
      <w:fldChar w:fldCharType="end"/>
    </w:r>
  </w:p>
  <w:p w14:paraId="4EE106B5" w14:textId="77777777" w:rsidR="006B024C" w:rsidRDefault="00705F31" w:rsidP="0081034C">
    <w:pPr>
      <w:pStyle w:val="Footer"/>
    </w:pPr>
    <w:r>
      <w:t>George Washington Teacher Institute | mountvernon.org</w:t>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CB1A6" w14:textId="77777777" w:rsidR="001D5075" w:rsidRDefault="001D5075" w:rsidP="00705F31">
      <w:pPr>
        <w:spacing w:after="0" w:line="240" w:lineRule="auto"/>
      </w:pPr>
      <w:r>
        <w:separator/>
      </w:r>
    </w:p>
  </w:footnote>
  <w:footnote w:type="continuationSeparator" w:id="0">
    <w:p w14:paraId="0FB6BC9B" w14:textId="77777777" w:rsidR="001D5075" w:rsidRDefault="001D5075" w:rsidP="00705F31">
      <w:pPr>
        <w:spacing w:after="0" w:line="240" w:lineRule="auto"/>
      </w:pPr>
      <w:r>
        <w:continuationSeparator/>
      </w:r>
    </w:p>
  </w:footnote>
  <w:footnote w:id="1">
    <w:p w14:paraId="7CA423CD" w14:textId="77777777" w:rsidR="003D6FED" w:rsidRPr="00377D9B" w:rsidRDefault="003D6FED" w:rsidP="003D6FED">
      <w:pPr>
        <w:pStyle w:val="FootnoteText"/>
        <w:rPr>
          <w:sz w:val="16"/>
          <w:szCs w:val="16"/>
        </w:rPr>
      </w:pPr>
      <w:r w:rsidRPr="00377D9B">
        <w:rPr>
          <w:rStyle w:val="FootnoteReference"/>
          <w:sz w:val="16"/>
          <w:szCs w:val="16"/>
        </w:rPr>
        <w:footnoteRef/>
      </w:r>
      <w:r w:rsidRPr="00377D9B">
        <w:rPr>
          <w:sz w:val="16"/>
          <w:szCs w:val="16"/>
        </w:rPr>
        <w:t xml:space="preserve"> Thomas Jefferson’s Notes on a Conversation with Edmond Genet, July 10, 1793.</w:t>
      </w:r>
    </w:p>
  </w:footnote>
  <w:footnote w:id="2">
    <w:p w14:paraId="588FBC5C" w14:textId="77F63BE5" w:rsidR="003D6FED" w:rsidRPr="00377D9B" w:rsidRDefault="003D6FED">
      <w:pPr>
        <w:pStyle w:val="FootnoteText"/>
        <w:rPr>
          <w:sz w:val="16"/>
          <w:szCs w:val="16"/>
        </w:rPr>
      </w:pPr>
      <w:r w:rsidRPr="00377D9B">
        <w:rPr>
          <w:rStyle w:val="FootnoteReference"/>
          <w:sz w:val="16"/>
          <w:szCs w:val="16"/>
        </w:rPr>
        <w:footnoteRef/>
      </w:r>
      <w:r w:rsidR="006F171B">
        <w:rPr>
          <w:sz w:val="16"/>
          <w:szCs w:val="16"/>
        </w:rPr>
        <w:t xml:space="preserve"> George</w:t>
      </w:r>
      <w:r w:rsidR="00377D9B" w:rsidRPr="00377D9B">
        <w:rPr>
          <w:sz w:val="16"/>
          <w:szCs w:val="16"/>
        </w:rPr>
        <w:t xml:space="preserve"> Washington’s Farewell Address, 1794.</w:t>
      </w:r>
    </w:p>
  </w:footnote>
  <w:footnote w:id="3">
    <w:p w14:paraId="723F2824" w14:textId="6D18E347" w:rsidR="003D6FED" w:rsidRPr="00377D9B" w:rsidRDefault="003D6FED" w:rsidP="003D6FED">
      <w:pPr>
        <w:pStyle w:val="FootnoteText"/>
        <w:rPr>
          <w:sz w:val="16"/>
          <w:szCs w:val="16"/>
        </w:rPr>
      </w:pPr>
      <w:r w:rsidRPr="00377D9B">
        <w:rPr>
          <w:rStyle w:val="FootnoteReference"/>
          <w:sz w:val="16"/>
          <w:szCs w:val="16"/>
        </w:rPr>
        <w:footnoteRef/>
      </w:r>
      <w:r w:rsidRPr="00377D9B">
        <w:rPr>
          <w:sz w:val="16"/>
          <w:szCs w:val="16"/>
        </w:rPr>
        <w:t xml:space="preserve"> </w:t>
      </w:r>
      <w:r w:rsidR="00377D9B" w:rsidRPr="00377D9B">
        <w:rPr>
          <w:sz w:val="16"/>
          <w:szCs w:val="16"/>
        </w:rPr>
        <w:t>Ibid.</w:t>
      </w:r>
    </w:p>
  </w:footnote>
  <w:footnote w:id="4">
    <w:p w14:paraId="29A851B8" w14:textId="77777777" w:rsidR="003D6FED" w:rsidRPr="00377D9B" w:rsidRDefault="003D6FED" w:rsidP="003D6FED">
      <w:pPr>
        <w:pStyle w:val="FootnoteText"/>
        <w:rPr>
          <w:sz w:val="16"/>
          <w:szCs w:val="16"/>
        </w:rPr>
      </w:pPr>
      <w:r w:rsidRPr="00377D9B">
        <w:rPr>
          <w:rStyle w:val="FootnoteReference"/>
          <w:sz w:val="16"/>
          <w:szCs w:val="16"/>
        </w:rPr>
        <w:footnoteRef/>
      </w:r>
      <w:r w:rsidRPr="00377D9B">
        <w:rPr>
          <w:sz w:val="16"/>
          <w:szCs w:val="16"/>
        </w:rPr>
        <w:t xml:space="preserve"> National Council for the Social Studies (NCSS), The College, Career, and Civic Life (C3) Framework for Social Studies State Standards: Guidance for Enhancing the Rigor of K-12 Civics, Economics, Geography, and History (Silver Spring, MD: NCSS, 2013). </w:t>
      </w:r>
      <w:hyperlink r:id="rId1" w:history="1">
        <w:r w:rsidRPr="00377D9B">
          <w:rPr>
            <w:rStyle w:val="Hyperlink"/>
            <w:sz w:val="16"/>
            <w:szCs w:val="16"/>
          </w:rPr>
          <w:t>https://www.socialstudies.org/standards/strands</w:t>
        </w:r>
      </w:hyperlink>
      <w:r w:rsidRPr="00377D9B">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2199F" w14:textId="77777777" w:rsidR="00635DD7" w:rsidRDefault="00635D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5907" w14:textId="77777777" w:rsidR="00D55242" w:rsidRDefault="001D5075" w:rsidP="00D55242">
    <w:pPr>
      <w:pStyle w:val="EducationNormal"/>
      <w:spacing w:after="60" w:line="276" w:lineRule="auto"/>
    </w:pPr>
  </w:p>
  <w:p w14:paraId="6BBF158B" w14:textId="77777777" w:rsidR="00D55242" w:rsidRDefault="001D5075" w:rsidP="00D55242">
    <w:pPr>
      <w:pStyle w:val="EducationTitle"/>
    </w:pPr>
  </w:p>
  <w:p w14:paraId="1CAA5FF5" w14:textId="2E948221" w:rsidR="00D55242" w:rsidRPr="006B024C" w:rsidRDefault="00635DD7" w:rsidP="00D55242">
    <w:pPr>
      <w:pStyle w:val="EducationSubtitle1"/>
    </w:pPr>
    <w:r>
      <w:t>Background information: Relating the Genet Affair</w:t>
    </w:r>
    <w:bookmarkStart w:id="0" w:name="_GoBack"/>
    <w:bookmarkEnd w:id="0"/>
    <w:r>
      <w:t xml:space="preserve"> to us history</w:t>
    </w:r>
  </w:p>
  <w:p w14:paraId="4F300143" w14:textId="77777777" w:rsidR="009F65C3" w:rsidRPr="00D55242" w:rsidRDefault="00705F31" w:rsidP="00D55242">
    <w:pPr>
      <w:pStyle w:val="EducationTitle"/>
    </w:pPr>
    <w:r>
      <w:t>GENet Affair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2C891" w14:textId="77777777" w:rsidR="009F65C3" w:rsidRDefault="001D5075">
    <w:pPr>
      <w:pStyle w:val="EducationNormal"/>
      <w:spacing w:after="60" w:line="276" w:lineRule="auto"/>
    </w:pPr>
  </w:p>
  <w:p w14:paraId="08852451" w14:textId="77777777" w:rsidR="006B024C" w:rsidRDefault="001D5075" w:rsidP="006B024C">
    <w:pPr>
      <w:pStyle w:val="EducationTitle"/>
    </w:pPr>
    <w:bookmarkStart w:id="1" w:name="_3qiajk6qottf" w:colFirst="0" w:colLast="0"/>
    <w:bookmarkStart w:id="2" w:name="_iu7255bya9dl" w:colFirst="0" w:colLast="0"/>
    <w:bookmarkEnd w:id="1"/>
    <w:bookmarkEnd w:id="2"/>
  </w:p>
  <w:p w14:paraId="76CEEF66" w14:textId="77777777" w:rsidR="007F3311" w:rsidRPr="006B024C" w:rsidRDefault="00705F31" w:rsidP="00E714FB">
    <w:pPr>
      <w:pStyle w:val="EducationSubtitle1"/>
    </w:pPr>
    <w:r w:rsidRPr="00E714FB">
      <w:t>BACKGROUND</w:t>
    </w:r>
    <w:r>
      <w:t xml:space="preserve"> INFORMATION</w:t>
    </w:r>
  </w:p>
  <w:p w14:paraId="7BC300D2" w14:textId="77777777" w:rsidR="006B024C" w:rsidRPr="007F3311" w:rsidRDefault="00705F31" w:rsidP="007F3311">
    <w:pPr>
      <w:pStyle w:val="EducationTitle"/>
    </w:pPr>
    <w:r>
      <w:t>ESTABLISHING THE PRESIDENCY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F31"/>
    <w:rsid w:val="00143DDB"/>
    <w:rsid w:val="00164217"/>
    <w:rsid w:val="001D5075"/>
    <w:rsid w:val="002403B5"/>
    <w:rsid w:val="00377D9B"/>
    <w:rsid w:val="00383B1E"/>
    <w:rsid w:val="003D6FED"/>
    <w:rsid w:val="00444709"/>
    <w:rsid w:val="004714D2"/>
    <w:rsid w:val="00530282"/>
    <w:rsid w:val="005A3423"/>
    <w:rsid w:val="005E6531"/>
    <w:rsid w:val="00635DD7"/>
    <w:rsid w:val="006F171B"/>
    <w:rsid w:val="00705F31"/>
    <w:rsid w:val="00722D93"/>
    <w:rsid w:val="0074558F"/>
    <w:rsid w:val="007A4913"/>
    <w:rsid w:val="008F07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FD904"/>
  <w15:chartTrackingRefBased/>
  <w15:docId w15:val="{92E4A862-5629-46B8-8416-46B434301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F31"/>
    <w:pPr>
      <w:spacing w:after="140" w:line="288" w:lineRule="auto"/>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ucationNormal">
    <w:name w:val="Education Normal"/>
    <w:qFormat/>
    <w:rsid w:val="00705F31"/>
    <w:pPr>
      <w:spacing w:after="140" w:line="288" w:lineRule="auto"/>
    </w:pPr>
    <w:rPr>
      <w:rFonts w:ascii="Times New Roman" w:eastAsia="Times New Roman" w:hAnsi="Times New Roman" w:cs="Times New Roman"/>
      <w:color w:val="000000"/>
    </w:rPr>
  </w:style>
  <w:style w:type="paragraph" w:styleId="Footer">
    <w:name w:val="footer"/>
    <w:aliases w:val="Education Footer"/>
    <w:link w:val="FooterChar"/>
    <w:uiPriority w:val="99"/>
    <w:qFormat/>
    <w:rsid w:val="00705F31"/>
    <w:pPr>
      <w:tabs>
        <w:tab w:val="center" w:pos="4320"/>
        <w:tab w:val="right" w:pos="8640"/>
      </w:tabs>
      <w:spacing w:after="0" w:line="240" w:lineRule="auto"/>
    </w:pPr>
    <w:rPr>
      <w:rFonts w:ascii="Times New Roman" w:eastAsia="Times New Roman" w:hAnsi="Times New Roman" w:cs="Times New Roman"/>
      <w:color w:val="000000"/>
      <w:sz w:val="18"/>
    </w:rPr>
  </w:style>
  <w:style w:type="character" w:customStyle="1" w:styleId="FooterChar">
    <w:name w:val="Footer Char"/>
    <w:aliases w:val="Education Footer Char"/>
    <w:basedOn w:val="DefaultParagraphFont"/>
    <w:link w:val="Footer"/>
    <w:uiPriority w:val="99"/>
    <w:rsid w:val="00705F31"/>
    <w:rPr>
      <w:rFonts w:ascii="Times New Roman" w:eastAsia="Times New Roman" w:hAnsi="Times New Roman" w:cs="Times New Roman"/>
      <w:color w:val="000000"/>
      <w:sz w:val="18"/>
    </w:rPr>
  </w:style>
  <w:style w:type="paragraph" w:customStyle="1" w:styleId="EducationSubtitle1">
    <w:name w:val="Education Subtitle 1"/>
    <w:next w:val="Subtitle"/>
    <w:qFormat/>
    <w:rsid w:val="00705F31"/>
    <w:pPr>
      <w:spacing w:after="140" w:line="288" w:lineRule="auto"/>
    </w:pPr>
    <w:rPr>
      <w:rFonts w:ascii="Times New Roman" w:eastAsia="Times New Roman" w:hAnsi="Times New Roman" w:cs="Times New Roman"/>
      <w:caps/>
      <w:color w:val="000000"/>
      <w:sz w:val="18"/>
      <w:szCs w:val="18"/>
    </w:rPr>
  </w:style>
  <w:style w:type="paragraph" w:customStyle="1" w:styleId="EducationTitle">
    <w:name w:val="Education Title"/>
    <w:next w:val="Title"/>
    <w:qFormat/>
    <w:rsid w:val="00705F31"/>
    <w:pPr>
      <w:spacing w:after="140" w:line="288" w:lineRule="auto"/>
    </w:pPr>
    <w:rPr>
      <w:rFonts w:ascii="Times New Roman" w:eastAsia="Times New Roman" w:hAnsi="Times New Roman" w:cs="Times New Roman"/>
      <w:caps/>
      <w:color w:val="000000"/>
      <w:sz w:val="44"/>
      <w:szCs w:val="44"/>
    </w:rPr>
  </w:style>
  <w:style w:type="character" w:styleId="PageNumber">
    <w:name w:val="page number"/>
    <w:basedOn w:val="DefaultParagraphFont"/>
    <w:uiPriority w:val="99"/>
    <w:semiHidden/>
    <w:rsid w:val="00705F31"/>
  </w:style>
  <w:style w:type="character" w:styleId="Hyperlink">
    <w:name w:val="Hyperlink"/>
    <w:uiPriority w:val="99"/>
    <w:unhideWhenUsed/>
    <w:rsid w:val="00705F31"/>
    <w:rPr>
      <w:color w:val="0563C1"/>
      <w:u w:val="single"/>
    </w:rPr>
  </w:style>
  <w:style w:type="character" w:styleId="FootnoteReference">
    <w:name w:val="footnote reference"/>
    <w:uiPriority w:val="99"/>
    <w:semiHidden/>
    <w:unhideWhenUsed/>
    <w:rsid w:val="00705F31"/>
    <w:rPr>
      <w:vertAlign w:val="superscript"/>
    </w:rPr>
  </w:style>
  <w:style w:type="paragraph" w:styleId="FootnoteText">
    <w:name w:val="footnote text"/>
    <w:basedOn w:val="Normal"/>
    <w:link w:val="FootnoteTextChar"/>
    <w:uiPriority w:val="99"/>
    <w:semiHidden/>
    <w:unhideWhenUsed/>
    <w:rsid w:val="00705F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F31"/>
    <w:rPr>
      <w:rFonts w:ascii="Times New Roman" w:eastAsia="Times New Roman" w:hAnsi="Times New Roman" w:cs="Times New Roman"/>
      <w:color w:val="000000"/>
      <w:sz w:val="20"/>
      <w:szCs w:val="20"/>
    </w:rPr>
  </w:style>
  <w:style w:type="character" w:styleId="CommentReference">
    <w:name w:val="annotation reference"/>
    <w:basedOn w:val="DefaultParagraphFont"/>
    <w:uiPriority w:val="99"/>
    <w:semiHidden/>
    <w:unhideWhenUsed/>
    <w:rsid w:val="00705F31"/>
    <w:rPr>
      <w:sz w:val="16"/>
      <w:szCs w:val="16"/>
    </w:rPr>
  </w:style>
  <w:style w:type="paragraph" w:styleId="CommentText">
    <w:name w:val="annotation text"/>
    <w:basedOn w:val="Normal"/>
    <w:link w:val="CommentTextChar"/>
    <w:uiPriority w:val="99"/>
    <w:semiHidden/>
    <w:unhideWhenUsed/>
    <w:rsid w:val="00705F31"/>
    <w:pPr>
      <w:spacing w:line="240" w:lineRule="auto"/>
    </w:pPr>
    <w:rPr>
      <w:sz w:val="20"/>
      <w:szCs w:val="20"/>
    </w:rPr>
  </w:style>
  <w:style w:type="character" w:customStyle="1" w:styleId="CommentTextChar">
    <w:name w:val="Comment Text Char"/>
    <w:basedOn w:val="DefaultParagraphFont"/>
    <w:link w:val="CommentText"/>
    <w:uiPriority w:val="99"/>
    <w:semiHidden/>
    <w:rsid w:val="00705F31"/>
    <w:rPr>
      <w:rFonts w:ascii="Times New Roman" w:eastAsia="Times New Roman" w:hAnsi="Times New Roman" w:cs="Times New Roman"/>
      <w:color w:val="000000"/>
      <w:sz w:val="20"/>
      <w:szCs w:val="20"/>
    </w:rPr>
  </w:style>
  <w:style w:type="paragraph" w:styleId="Subtitle">
    <w:name w:val="Subtitle"/>
    <w:basedOn w:val="Normal"/>
    <w:next w:val="Normal"/>
    <w:link w:val="SubtitleChar"/>
    <w:uiPriority w:val="11"/>
    <w:qFormat/>
    <w:rsid w:val="00705F3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05F31"/>
    <w:rPr>
      <w:rFonts w:eastAsiaTheme="minorEastAsia"/>
      <w:color w:val="5A5A5A" w:themeColor="text1" w:themeTint="A5"/>
      <w:spacing w:val="15"/>
    </w:rPr>
  </w:style>
  <w:style w:type="paragraph" w:styleId="Title">
    <w:name w:val="Title"/>
    <w:basedOn w:val="Normal"/>
    <w:next w:val="Normal"/>
    <w:link w:val="TitleChar"/>
    <w:uiPriority w:val="10"/>
    <w:qFormat/>
    <w:rsid w:val="00705F3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705F31"/>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705F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F31"/>
    <w:rPr>
      <w:rFonts w:ascii="Segoe UI" w:eastAsia="Times New Roman" w:hAnsi="Segoe UI" w:cs="Segoe UI"/>
      <w:color w:val="000000"/>
      <w:sz w:val="18"/>
      <w:szCs w:val="18"/>
    </w:rPr>
  </w:style>
  <w:style w:type="paragraph" w:styleId="Header">
    <w:name w:val="header"/>
    <w:basedOn w:val="Normal"/>
    <w:link w:val="HeaderChar"/>
    <w:uiPriority w:val="99"/>
    <w:unhideWhenUsed/>
    <w:rsid w:val="00635D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5DD7"/>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ocialstudies.org/standards/stran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05D5C-7AE8-4DD9-8FAA-1BB2DC3F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615</Words>
  <Characters>3506</Characters>
  <Application>Microsoft Office Word</Application>
  <DocSecurity>0</DocSecurity>
  <Lines>29</Lines>
  <Paragraphs>8</Paragraphs>
  <ScaleCrop>false</ScaleCrop>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Vaile, Sydney</dc:creator>
  <cp:keywords/>
  <dc:description/>
  <cp:lastModifiedBy>Sadie Troy</cp:lastModifiedBy>
  <cp:revision>2</cp:revision>
  <dcterms:created xsi:type="dcterms:W3CDTF">2018-04-10T17:44:00Z</dcterms:created>
  <dcterms:modified xsi:type="dcterms:W3CDTF">2018-04-10T17:44:00Z</dcterms:modified>
</cp:coreProperties>
</file>